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75ECF" w14:textId="77777777" w:rsidR="003D703A" w:rsidRDefault="003D703A"/>
    <w:p w14:paraId="43DB0116" w14:textId="468F1F16" w:rsidR="003D703A" w:rsidRPr="00DB6F77" w:rsidRDefault="00B21BE2" w:rsidP="00DB6F77">
      <w:pPr>
        <w:jc w:val="center"/>
        <w:rPr>
          <w:b/>
          <w:color w:val="FF0000"/>
          <w:sz w:val="36"/>
        </w:rPr>
      </w:pPr>
      <w:r w:rsidRPr="00B21BE2">
        <w:rPr>
          <w:b/>
          <w:color w:val="FF0000"/>
          <w:sz w:val="36"/>
        </w:rPr>
        <w:t xml:space="preserve">IMPORTANT </w:t>
      </w:r>
      <w:r w:rsidR="00AC7A8B" w:rsidRPr="00B21BE2">
        <w:rPr>
          <w:b/>
          <w:color w:val="FF0000"/>
          <w:sz w:val="36"/>
        </w:rPr>
        <w:t>CLINICAL LABORATORY MEMORANDUM</w:t>
      </w:r>
    </w:p>
    <w:p w14:paraId="43C571BF" w14:textId="2B363FE3" w:rsidR="003D703A" w:rsidRPr="00AC7A8B" w:rsidRDefault="00AC7A8B" w:rsidP="003D703A">
      <w:pPr>
        <w:rPr>
          <w:sz w:val="24"/>
          <w:szCs w:val="24"/>
        </w:rPr>
      </w:pPr>
      <w:r w:rsidRPr="00AC7A8B">
        <w:rPr>
          <w:sz w:val="24"/>
          <w:szCs w:val="24"/>
        </w:rPr>
        <w:t>Date:</w:t>
      </w:r>
      <w:r w:rsidRPr="00AC7A8B">
        <w:rPr>
          <w:sz w:val="24"/>
          <w:szCs w:val="24"/>
        </w:rPr>
        <w:tab/>
      </w:r>
      <w:r w:rsidR="00C45DFA">
        <w:rPr>
          <w:sz w:val="24"/>
          <w:szCs w:val="24"/>
        </w:rPr>
        <w:t>November 25</w:t>
      </w:r>
      <w:r w:rsidR="00C45DFA" w:rsidRPr="00C45DFA">
        <w:rPr>
          <w:sz w:val="24"/>
          <w:szCs w:val="24"/>
          <w:vertAlign w:val="superscript"/>
        </w:rPr>
        <w:t>th</w:t>
      </w:r>
      <w:r w:rsidR="00C45DFA">
        <w:rPr>
          <w:sz w:val="24"/>
          <w:szCs w:val="24"/>
        </w:rPr>
        <w:t>, 2024</w:t>
      </w:r>
    </w:p>
    <w:p w14:paraId="08A9948A" w14:textId="77777777" w:rsidR="00847732" w:rsidRDefault="00847732" w:rsidP="0080738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80738E">
        <w:rPr>
          <w:sz w:val="24"/>
          <w:szCs w:val="24"/>
        </w:rPr>
        <w:t>CAMC Providers</w:t>
      </w:r>
      <w:r w:rsidR="0080738E">
        <w:rPr>
          <w:sz w:val="24"/>
          <w:szCs w:val="24"/>
        </w:rPr>
        <w:br/>
        <w:t>CAMC Staff</w:t>
      </w:r>
      <w:r w:rsidR="0080738E">
        <w:rPr>
          <w:sz w:val="24"/>
          <w:szCs w:val="24"/>
        </w:rPr>
        <w:br/>
        <w:t xml:space="preserve">CAMC </w:t>
      </w:r>
      <w:proofErr w:type="spellStart"/>
      <w:r w:rsidR="0080738E">
        <w:rPr>
          <w:sz w:val="24"/>
          <w:szCs w:val="24"/>
        </w:rPr>
        <w:t>LabWorks</w:t>
      </w:r>
      <w:proofErr w:type="spellEnd"/>
      <w:r w:rsidR="0080738E">
        <w:rPr>
          <w:sz w:val="24"/>
          <w:szCs w:val="24"/>
        </w:rPr>
        <w:t xml:space="preserve"> Clients</w:t>
      </w:r>
    </w:p>
    <w:p w14:paraId="6CB4380A" w14:textId="05CE5426" w:rsidR="003D703A" w:rsidRDefault="00AC7A8B" w:rsidP="00847732">
      <w:pPr>
        <w:rPr>
          <w:sz w:val="24"/>
          <w:szCs w:val="24"/>
        </w:rPr>
      </w:pPr>
      <w:r w:rsidRPr="00AC7A8B">
        <w:rPr>
          <w:sz w:val="24"/>
          <w:szCs w:val="24"/>
        </w:rPr>
        <w:t>From:</w:t>
      </w:r>
      <w:r w:rsidRPr="00AC7A8B">
        <w:rPr>
          <w:sz w:val="24"/>
          <w:szCs w:val="24"/>
        </w:rPr>
        <w:tab/>
      </w:r>
      <w:r w:rsidR="00C45DFA">
        <w:rPr>
          <w:sz w:val="24"/>
          <w:szCs w:val="24"/>
        </w:rPr>
        <w:t>CAMC Vandalia Health Southern Region Laboratories</w:t>
      </w:r>
    </w:p>
    <w:p w14:paraId="3ADF3FCB" w14:textId="7FF8AD38" w:rsidR="00C45DFA" w:rsidRDefault="00C45DFA" w:rsidP="00847732">
      <w:pPr>
        <w:rPr>
          <w:sz w:val="24"/>
          <w:szCs w:val="24"/>
        </w:rPr>
      </w:pPr>
      <w:r>
        <w:rPr>
          <w:sz w:val="24"/>
          <w:szCs w:val="24"/>
        </w:rPr>
        <w:tab/>
        <w:t>Milton Plata, MD</w:t>
      </w:r>
    </w:p>
    <w:p w14:paraId="447E4C9C" w14:textId="4879E970" w:rsidR="00C45DFA" w:rsidRDefault="00C45DFA" w:rsidP="00847732">
      <w:pPr>
        <w:rPr>
          <w:sz w:val="24"/>
          <w:szCs w:val="24"/>
        </w:rPr>
      </w:pPr>
      <w:r>
        <w:rPr>
          <w:sz w:val="24"/>
          <w:szCs w:val="24"/>
        </w:rPr>
        <w:tab/>
        <w:t>Darlene Gruetter, MD</w:t>
      </w:r>
    </w:p>
    <w:p w14:paraId="2DFCE987" w14:textId="34B896B1" w:rsidR="00847732" w:rsidRPr="00C45DFA" w:rsidRDefault="00C45DFA" w:rsidP="003D703A">
      <w:pPr>
        <w:rPr>
          <w:sz w:val="24"/>
          <w:szCs w:val="24"/>
        </w:rPr>
      </w:pPr>
      <w:r>
        <w:rPr>
          <w:sz w:val="24"/>
          <w:szCs w:val="24"/>
        </w:rPr>
        <w:tab/>
        <w:t>David Webb, MD</w:t>
      </w:r>
    </w:p>
    <w:p w14:paraId="636CFC7E" w14:textId="11C81312" w:rsidR="00C45DFA" w:rsidRDefault="00F4156F" w:rsidP="00DB6F77">
      <w:pPr>
        <w:ind w:left="-540"/>
        <w:rPr>
          <w:b/>
          <w:sz w:val="24"/>
          <w:szCs w:val="24"/>
        </w:rPr>
      </w:pPr>
      <w:r w:rsidRPr="000309F4">
        <w:rPr>
          <w:b/>
          <w:sz w:val="24"/>
          <w:szCs w:val="24"/>
        </w:rPr>
        <w:t>TOPIC:</w:t>
      </w:r>
      <w:r w:rsidR="00C45DFA">
        <w:rPr>
          <w:b/>
          <w:sz w:val="24"/>
          <w:szCs w:val="24"/>
        </w:rPr>
        <w:t xml:space="preserve"> Laboratory Critical Value Changes</w:t>
      </w:r>
    </w:p>
    <w:p w14:paraId="15991994" w14:textId="2AD8E4E3" w:rsidR="00C45DFA" w:rsidRPr="00C45DFA" w:rsidRDefault="00C45DFA" w:rsidP="00DB6F77">
      <w:pPr>
        <w:ind w:left="-540" w:right="-540"/>
        <w:rPr>
          <w:bCs/>
          <w:sz w:val="24"/>
          <w:szCs w:val="24"/>
        </w:rPr>
      </w:pPr>
      <w:r w:rsidRPr="00C45DFA">
        <w:rPr>
          <w:bCs/>
          <w:sz w:val="24"/>
          <w:szCs w:val="24"/>
        </w:rPr>
        <w:t xml:space="preserve">To align laboratory critical values across Vandalia Health Systems, the Pathology Department, along with the Medical Executive Committee have approved the following changes to laboratory critical values. </w:t>
      </w:r>
      <w:r>
        <w:rPr>
          <w:bCs/>
          <w:sz w:val="24"/>
          <w:szCs w:val="24"/>
        </w:rPr>
        <w:t xml:space="preserve">This is Phase II of the standardization project. </w:t>
      </w:r>
    </w:p>
    <w:tbl>
      <w:tblPr>
        <w:tblW w:w="10340" w:type="dxa"/>
        <w:tblInd w:w="-4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00"/>
        <w:gridCol w:w="3500"/>
        <w:gridCol w:w="3940"/>
      </w:tblGrid>
      <w:tr w:rsidR="00C45DFA" w:rsidRPr="00C45DFA" w14:paraId="6E62BA72" w14:textId="77777777" w:rsidTr="00C45DFA">
        <w:trPr>
          <w:trHeight w:val="269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770A94" w14:textId="77777777" w:rsidR="00C45DFA" w:rsidRPr="00C45DFA" w:rsidRDefault="00C45DFA" w:rsidP="00C45DF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</w:rPr>
              <w:t>Assay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DD8CE8" w14:textId="77777777" w:rsidR="00C45DFA" w:rsidRPr="00C45DFA" w:rsidRDefault="00C45DFA" w:rsidP="00C45DF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</w:rPr>
              <w:t>Current CAMC Critical Value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738283" w14:textId="77777777" w:rsidR="00C45DFA" w:rsidRPr="00C45DFA" w:rsidRDefault="00C45DFA" w:rsidP="00C45DF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</w:rPr>
              <w:t>Proposed Vandalia Health Critical Values</w:t>
            </w:r>
          </w:p>
        </w:tc>
      </w:tr>
      <w:tr w:rsidR="00C45DFA" w:rsidRPr="00C45DFA" w14:paraId="5508771D" w14:textId="77777777" w:rsidTr="00C45DFA">
        <w:trPr>
          <w:trHeight w:val="269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C97A5F7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Acetaminophen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C6ECFE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&gt;=50.0 ug/mL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A7E9435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&gt;50.0 ug/mL</w:t>
            </w:r>
          </w:p>
        </w:tc>
      </w:tr>
      <w:tr w:rsidR="00C45DFA" w:rsidRPr="00C45DFA" w14:paraId="63D69336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CE86C6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Carbamazepine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E1541B4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&gt;18.0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0868630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&gt;15.0 ug/mL</w:t>
            </w:r>
          </w:p>
        </w:tc>
      </w:tr>
      <w:tr w:rsidR="00C45DFA" w:rsidRPr="00C45DFA" w14:paraId="5461C336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9DA6C2A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Cyclosporine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B74502B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&gt;=1000 ng/mL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8342AFC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&gt;1000 ng/mL</w:t>
            </w:r>
          </w:p>
        </w:tc>
      </w:tr>
      <w:tr w:rsidR="00C45DFA" w:rsidRPr="00C45DFA" w14:paraId="0EC030C8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58ADB43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Gentamicin, Random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B0A81B6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&gt;=12.0 mg/L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D1F244B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&gt;12.0 mg/L</w:t>
            </w:r>
          </w:p>
        </w:tc>
      </w:tr>
      <w:tr w:rsidR="00C45DFA" w:rsidRPr="00C45DFA" w14:paraId="72102592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E1C32D5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Gentamicin, Peak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AD70ED7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&gt;=12.0 mg/L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7611284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&gt;12.0 mg/L</w:t>
            </w:r>
          </w:p>
        </w:tc>
      </w:tr>
      <w:tr w:rsidR="00C45DFA" w:rsidRPr="00C45DFA" w14:paraId="702A328F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07E4726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Gentamicin, Trough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77C7969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&gt;=2.0 mg/L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4A8DAE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&gt;2.0 mg/L</w:t>
            </w:r>
          </w:p>
        </w:tc>
      </w:tr>
      <w:tr w:rsidR="00C45DFA" w:rsidRPr="00C45DFA" w14:paraId="695F82D2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DE29CCD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Digoxin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9A619E6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&gt;=2.5 ng/mL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43C5397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&gt;2.5 ng/mL</w:t>
            </w:r>
          </w:p>
        </w:tc>
      </w:tr>
      <w:tr w:rsidR="00C45DFA" w:rsidRPr="00C45DFA" w14:paraId="35DB52FE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02AB09F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Dilantin (Phenytoin)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0C680AD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&gt;=30.0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A436089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&gt;25.0 ug/mL</w:t>
            </w:r>
          </w:p>
        </w:tc>
      </w:tr>
      <w:tr w:rsidR="00C45DFA" w:rsidRPr="00C45DFA" w14:paraId="72FDD0A9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A0BB157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Lidocaine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9F32FD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&gt;=5.0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F7412B1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&gt;5.0 ug/mL</w:t>
            </w:r>
          </w:p>
        </w:tc>
      </w:tr>
      <w:tr w:rsidR="00C45DFA" w:rsidRPr="00C45DFA" w14:paraId="7043BC69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E3AE4B9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Lithium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4655478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&gt;2.00 mmol/L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E66291B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&gt;1.50 mmol/L</w:t>
            </w:r>
          </w:p>
        </w:tc>
      </w:tr>
      <w:tr w:rsidR="00C45DFA" w:rsidRPr="00C45DFA" w14:paraId="5A9891FB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19FEC8C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Phenobarbital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F429FFC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&gt;60.0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005A64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&gt;50.0 ug/mL</w:t>
            </w:r>
          </w:p>
        </w:tc>
      </w:tr>
      <w:tr w:rsidR="00C45DFA" w:rsidRPr="00C45DFA" w14:paraId="7CD2FC37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A253A5A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Salicylate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13C654F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&gt;=40.0 mg/dL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5078701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&gt;30.0 mg/dL</w:t>
            </w:r>
          </w:p>
        </w:tc>
      </w:tr>
      <w:tr w:rsidR="00C45DFA" w:rsidRPr="00C45DFA" w14:paraId="0186F223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522B56D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Tobramycin, Random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F9702B8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&gt;=12.0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F502ACE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&gt;12.0 ug/mL</w:t>
            </w:r>
          </w:p>
        </w:tc>
      </w:tr>
      <w:tr w:rsidR="00C45DFA" w:rsidRPr="00C45DFA" w14:paraId="209BE50F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103DF44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Tobramycin, Peak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C98F02B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&gt;=12.0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2429D5E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&gt;12.0 ug/mL</w:t>
            </w:r>
          </w:p>
        </w:tc>
      </w:tr>
      <w:tr w:rsidR="00C45DFA" w:rsidRPr="00C45DFA" w14:paraId="73D89818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7AF35FC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Tobramycin, Trough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7B6CD9A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&gt;=2.0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FA6A9A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&gt;2.0 ug/mL</w:t>
            </w:r>
          </w:p>
        </w:tc>
      </w:tr>
      <w:tr w:rsidR="00C45DFA" w:rsidRPr="00C45DFA" w14:paraId="5E38C768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74FBE30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Valproic Acid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9401FD0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&gt;=150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C114961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&gt;100 ug/mL</w:t>
            </w:r>
          </w:p>
        </w:tc>
      </w:tr>
      <w:tr w:rsidR="00C45DFA" w:rsidRPr="00C45DFA" w14:paraId="14BB0626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346D153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Vancomycin, Random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ED93040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&gt;=80.0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1CCB96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&gt;60.0 ug/mL</w:t>
            </w:r>
          </w:p>
        </w:tc>
      </w:tr>
      <w:tr w:rsidR="00C45DFA" w:rsidRPr="00C45DFA" w14:paraId="50623926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E78C4F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Vancomycin, Peak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EFEAEDA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&gt;=80.0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B86E094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&gt;60.0 ug/mL</w:t>
            </w:r>
          </w:p>
        </w:tc>
      </w:tr>
      <w:tr w:rsidR="00C45DFA" w:rsidRPr="00C45DFA" w14:paraId="13B0A877" w14:textId="77777777" w:rsidTr="00C45DFA">
        <w:trPr>
          <w:trHeight w:val="269"/>
        </w:trPr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3374729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Vancomycin, Trough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B1E05C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&gt;=25.0 ug/mL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4F91BE9" w14:textId="77777777" w:rsidR="00C45DFA" w:rsidRPr="00C45DFA" w:rsidRDefault="00C45DFA" w:rsidP="00C45DF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45DFA">
              <w:rPr>
                <w:rFonts w:ascii="Aptos Narrow" w:eastAsia="Times New Roman" w:hAnsi="Aptos Narrow" w:cs="Arial"/>
                <w:color w:val="000000"/>
                <w:kern w:val="24"/>
                <w:sz w:val="18"/>
                <w:szCs w:val="18"/>
              </w:rPr>
              <w:t>&gt;25.0 ug/mL</w:t>
            </w:r>
          </w:p>
        </w:tc>
      </w:tr>
    </w:tbl>
    <w:p w14:paraId="5A97BBD4" w14:textId="5F7D427F" w:rsidR="00847732" w:rsidRPr="002D7F2F" w:rsidRDefault="002D7F2F" w:rsidP="003D70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71261D2" w14:textId="77777777" w:rsidR="00DB6F77" w:rsidRDefault="00DB6F77" w:rsidP="003D703A">
      <w:pPr>
        <w:rPr>
          <w:b/>
          <w:sz w:val="24"/>
          <w:szCs w:val="24"/>
        </w:rPr>
      </w:pPr>
    </w:p>
    <w:p w14:paraId="0A0DA16A" w14:textId="7BA86AB3" w:rsidR="003D703A" w:rsidRDefault="00F4156F" w:rsidP="00DB6F77">
      <w:pPr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>EFFECTIVE:</w:t>
      </w:r>
      <w:r w:rsidR="002D7F2F">
        <w:rPr>
          <w:b/>
          <w:sz w:val="24"/>
          <w:szCs w:val="24"/>
        </w:rPr>
        <w:t xml:space="preserve"> </w:t>
      </w:r>
      <w:r w:rsidR="00DB6F77">
        <w:rPr>
          <w:b/>
          <w:sz w:val="24"/>
          <w:szCs w:val="24"/>
        </w:rPr>
        <w:t xml:space="preserve"> </w:t>
      </w:r>
      <w:r w:rsidR="00DB6F77" w:rsidRPr="00DB6F77">
        <w:rPr>
          <w:bCs/>
          <w:sz w:val="24"/>
          <w:szCs w:val="24"/>
        </w:rPr>
        <w:t>December 3</w:t>
      </w:r>
      <w:r w:rsidR="00DB6F77" w:rsidRPr="00DB6F77">
        <w:rPr>
          <w:bCs/>
          <w:sz w:val="24"/>
          <w:szCs w:val="24"/>
          <w:vertAlign w:val="superscript"/>
        </w:rPr>
        <w:t>rd</w:t>
      </w:r>
      <w:r w:rsidR="00DB6F77" w:rsidRPr="00DB6F77">
        <w:rPr>
          <w:bCs/>
          <w:sz w:val="24"/>
          <w:szCs w:val="24"/>
        </w:rPr>
        <w:t>, 2024</w:t>
      </w:r>
      <w:r w:rsidR="00DB6F77">
        <w:rPr>
          <w:b/>
          <w:sz w:val="24"/>
          <w:szCs w:val="24"/>
        </w:rPr>
        <w:t xml:space="preserve"> </w:t>
      </w:r>
    </w:p>
    <w:p w14:paraId="6B59F068" w14:textId="4AC6C562" w:rsidR="00DB6F77" w:rsidRPr="00DB6F77" w:rsidRDefault="00DB6F77" w:rsidP="00DB6F77">
      <w:pPr>
        <w:ind w:left="-540" w:right="-630"/>
        <w:rPr>
          <w:bCs/>
          <w:sz w:val="24"/>
          <w:szCs w:val="24"/>
        </w:rPr>
      </w:pPr>
      <w:r w:rsidRPr="00DB6F77">
        <w:rPr>
          <w:bCs/>
          <w:sz w:val="24"/>
          <w:szCs w:val="24"/>
        </w:rPr>
        <w:t xml:space="preserve">If you have any questions please contact Della Haynes at </w:t>
      </w:r>
      <w:hyperlink r:id="rId8" w:history="1">
        <w:r w:rsidRPr="00DB6F77">
          <w:rPr>
            <w:rStyle w:val="Hyperlink"/>
            <w:bCs/>
            <w:sz w:val="24"/>
            <w:szCs w:val="24"/>
          </w:rPr>
          <w:t>della.haynes@vandaliahealth.org</w:t>
        </w:r>
      </w:hyperlink>
      <w:r w:rsidRPr="00DB6F77">
        <w:rPr>
          <w:bCs/>
          <w:sz w:val="24"/>
          <w:szCs w:val="24"/>
        </w:rPr>
        <w:t xml:space="preserve"> or 304-388-4184, Patty Costa at </w:t>
      </w:r>
      <w:hyperlink r:id="rId9" w:history="1">
        <w:r w:rsidRPr="00DB6F77">
          <w:rPr>
            <w:rStyle w:val="Hyperlink"/>
            <w:bCs/>
            <w:sz w:val="24"/>
            <w:szCs w:val="24"/>
          </w:rPr>
          <w:t>patty.costa@vandaliahealth.org</w:t>
        </w:r>
      </w:hyperlink>
      <w:r w:rsidRPr="00DB6F77">
        <w:rPr>
          <w:bCs/>
          <w:sz w:val="24"/>
          <w:szCs w:val="24"/>
        </w:rPr>
        <w:t xml:space="preserve"> or 304-388-7889, or Angela Warner at </w:t>
      </w:r>
      <w:hyperlink r:id="rId10" w:history="1">
        <w:r w:rsidRPr="00DB6F77">
          <w:rPr>
            <w:rStyle w:val="Hyperlink"/>
            <w:bCs/>
            <w:sz w:val="24"/>
            <w:szCs w:val="24"/>
          </w:rPr>
          <w:t>angela.warner@vandaliahealth.org</w:t>
        </w:r>
      </w:hyperlink>
      <w:r w:rsidRPr="00DB6F77">
        <w:rPr>
          <w:bCs/>
          <w:sz w:val="24"/>
          <w:szCs w:val="24"/>
        </w:rPr>
        <w:t xml:space="preserve"> or 304-757-1769 or Nasser Larijani at </w:t>
      </w:r>
      <w:hyperlink r:id="rId11" w:history="1">
        <w:r w:rsidRPr="00DB6F77">
          <w:rPr>
            <w:rStyle w:val="Hyperlink"/>
            <w:bCs/>
            <w:sz w:val="24"/>
            <w:szCs w:val="24"/>
          </w:rPr>
          <w:t>Nasser.larijani@vandaliahealth.org</w:t>
        </w:r>
      </w:hyperlink>
      <w:r w:rsidRPr="00DB6F77">
        <w:rPr>
          <w:bCs/>
          <w:sz w:val="24"/>
          <w:szCs w:val="24"/>
        </w:rPr>
        <w:t xml:space="preserve"> or 304-388-2386</w:t>
      </w:r>
      <w:r>
        <w:rPr>
          <w:bCs/>
          <w:sz w:val="24"/>
          <w:szCs w:val="24"/>
        </w:rPr>
        <w:t xml:space="preserve"> </w:t>
      </w:r>
      <w:r w:rsidRPr="00DB6F77">
        <w:rPr>
          <w:bCs/>
          <w:sz w:val="24"/>
          <w:szCs w:val="24"/>
        </w:rPr>
        <w:t xml:space="preserve">or Kristy Rambo at </w:t>
      </w:r>
      <w:hyperlink r:id="rId12" w:history="1">
        <w:r w:rsidRPr="00DB6F77">
          <w:rPr>
            <w:rStyle w:val="Hyperlink"/>
            <w:bCs/>
            <w:sz w:val="24"/>
            <w:szCs w:val="24"/>
          </w:rPr>
          <w:t>Kristy.rambo@vandaliahealth.org</w:t>
        </w:r>
      </w:hyperlink>
      <w:r w:rsidRPr="00DB6F77">
        <w:rPr>
          <w:bCs/>
          <w:sz w:val="24"/>
          <w:szCs w:val="24"/>
        </w:rPr>
        <w:t xml:space="preserve"> or 304-647-6061 or Lindsey Bay at </w:t>
      </w:r>
      <w:hyperlink r:id="rId13" w:history="1">
        <w:r w:rsidRPr="00DB6F77">
          <w:rPr>
            <w:rStyle w:val="Hyperlink"/>
            <w:bCs/>
            <w:sz w:val="24"/>
            <w:szCs w:val="24"/>
          </w:rPr>
          <w:t>lindsey.bays@vandaliahealth.org</w:t>
        </w:r>
      </w:hyperlink>
      <w:r w:rsidRPr="00DB6F77">
        <w:rPr>
          <w:bCs/>
          <w:sz w:val="24"/>
          <w:szCs w:val="24"/>
        </w:rPr>
        <w:t xml:space="preserve"> or 304-469-8600</w:t>
      </w:r>
    </w:p>
    <w:p w14:paraId="47F61A7A" w14:textId="77777777" w:rsidR="0080738E" w:rsidRPr="002D7F2F" w:rsidRDefault="0080738E" w:rsidP="003D703A">
      <w:pPr>
        <w:rPr>
          <w:sz w:val="24"/>
          <w:szCs w:val="24"/>
        </w:rPr>
      </w:pPr>
    </w:p>
    <w:sectPr w:rsidR="0080738E" w:rsidRPr="002D7F2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9AF36" w14:textId="77777777" w:rsidR="001101C0" w:rsidRDefault="001101C0" w:rsidP="0029594D">
      <w:pPr>
        <w:spacing w:after="0" w:line="240" w:lineRule="auto"/>
      </w:pPr>
      <w:r>
        <w:separator/>
      </w:r>
    </w:p>
  </w:endnote>
  <w:endnote w:type="continuationSeparator" w:id="0">
    <w:p w14:paraId="421FE354" w14:textId="77777777" w:rsidR="001101C0" w:rsidRDefault="001101C0" w:rsidP="0029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86A6" w14:textId="77777777" w:rsidR="001101C0" w:rsidRDefault="001101C0" w:rsidP="0029594D">
      <w:pPr>
        <w:spacing w:after="0" w:line="240" w:lineRule="auto"/>
      </w:pPr>
      <w:r>
        <w:separator/>
      </w:r>
    </w:p>
  </w:footnote>
  <w:footnote w:type="continuationSeparator" w:id="0">
    <w:p w14:paraId="41630C69" w14:textId="77777777" w:rsidR="001101C0" w:rsidRDefault="001101C0" w:rsidP="0029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CF50" w14:textId="4AC8715C" w:rsidR="0029594D" w:rsidRDefault="00CC66A0" w:rsidP="00A639AD">
    <w:pPr>
      <w:pStyle w:val="Header"/>
    </w:pPr>
    <w:r>
      <w:rPr>
        <w:noProof/>
      </w:rPr>
      <w:drawing>
        <wp:inline distT="0" distB="0" distL="0" distR="0" wp14:anchorId="7873F970" wp14:editId="4C307C7E">
          <wp:extent cx="1714500" cy="654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90" cy="66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39AD">
      <w:tab/>
    </w:r>
    <w:r w:rsidR="00A639AD">
      <w:tab/>
    </w:r>
    <w:r w:rsidR="00A639AD">
      <w:rPr>
        <w:noProof/>
      </w:rPr>
      <w:drawing>
        <wp:inline distT="0" distB="0" distL="0" distR="0" wp14:anchorId="1D9B59F0" wp14:editId="6BD5FFD0">
          <wp:extent cx="2070078" cy="639659"/>
          <wp:effectExtent l="0" t="0" r="698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4588" cy="64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491"/>
    <w:multiLevelType w:val="hybridMultilevel"/>
    <w:tmpl w:val="AF98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9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3A"/>
    <w:rsid w:val="000309F4"/>
    <w:rsid w:val="001101C0"/>
    <w:rsid w:val="001C2037"/>
    <w:rsid w:val="0029594D"/>
    <w:rsid w:val="002D7F2F"/>
    <w:rsid w:val="003D703A"/>
    <w:rsid w:val="004130FA"/>
    <w:rsid w:val="005951BE"/>
    <w:rsid w:val="0067252E"/>
    <w:rsid w:val="00727998"/>
    <w:rsid w:val="00736AAA"/>
    <w:rsid w:val="0080738E"/>
    <w:rsid w:val="00824B91"/>
    <w:rsid w:val="0084639C"/>
    <w:rsid w:val="00847732"/>
    <w:rsid w:val="0086487E"/>
    <w:rsid w:val="008E7245"/>
    <w:rsid w:val="00945AD2"/>
    <w:rsid w:val="009D3BDF"/>
    <w:rsid w:val="009F3290"/>
    <w:rsid w:val="00A30D3E"/>
    <w:rsid w:val="00A639AD"/>
    <w:rsid w:val="00A80D6D"/>
    <w:rsid w:val="00AC7A8B"/>
    <w:rsid w:val="00B21BE2"/>
    <w:rsid w:val="00BC494E"/>
    <w:rsid w:val="00C26785"/>
    <w:rsid w:val="00C45DFA"/>
    <w:rsid w:val="00CC66A0"/>
    <w:rsid w:val="00D07D73"/>
    <w:rsid w:val="00DB6F77"/>
    <w:rsid w:val="00E2630A"/>
    <w:rsid w:val="00E6592D"/>
    <w:rsid w:val="00EB0C73"/>
    <w:rsid w:val="00F3418E"/>
    <w:rsid w:val="00F4156F"/>
    <w:rsid w:val="00F84374"/>
    <w:rsid w:val="00FB61E5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9F21"/>
  <w15:chartTrackingRefBased/>
  <w15:docId w15:val="{1A01BE8E-3D4E-4FBC-A569-A2E896A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0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4D"/>
  </w:style>
  <w:style w:type="paragraph" w:styleId="Footer">
    <w:name w:val="footer"/>
    <w:basedOn w:val="Normal"/>
    <w:link w:val="Foot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4D"/>
  </w:style>
  <w:style w:type="paragraph" w:styleId="NormalWeb">
    <w:name w:val="Normal (Web)"/>
    <w:basedOn w:val="Normal"/>
    <w:uiPriority w:val="99"/>
    <w:semiHidden/>
    <w:unhideWhenUsed/>
    <w:rsid w:val="00C4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la.haynes@vandaliahealth.org" TargetMode="External"/><Relationship Id="rId13" Type="http://schemas.openxmlformats.org/officeDocument/2006/relationships/hyperlink" Target="mailto:lindsey.bays@vandalia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isty.rambo@vandaliahealth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sser.larijani@vandaliahealth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gela.warner@vandaliahealt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ty.costa@vandaliahealth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578E-E9FE-4BED-B0D6-D503809F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CAMC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Lisa G.</dc:creator>
  <cp:keywords/>
  <dc:description/>
  <cp:lastModifiedBy>Bullard, Cindy</cp:lastModifiedBy>
  <cp:revision>2</cp:revision>
  <cp:lastPrinted>2021-09-01T15:17:00Z</cp:lastPrinted>
  <dcterms:created xsi:type="dcterms:W3CDTF">2024-11-25T16:27:00Z</dcterms:created>
  <dcterms:modified xsi:type="dcterms:W3CDTF">2024-11-25T16:27:00Z</dcterms:modified>
</cp:coreProperties>
</file>